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444" w:type="pct"/>
        <w:jc w:val="righ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044"/>
      </w:tblGrid>
      <w:tr w:rsidR="00B71BFA" w:rsidRPr="0032788D" w:rsidTr="00924E98">
        <w:trPr>
          <w:jc w:val="right"/>
        </w:trPr>
        <w:tc>
          <w:tcPr>
            <w:tcW w:w="5043" w:type="dxa"/>
          </w:tcPr>
          <w:p w:rsidR="00B71BFA" w:rsidRPr="00B51A9C" w:rsidRDefault="00B71BFA" w:rsidP="00E5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51A9C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Pr="00B51A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51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BFA" w:rsidRPr="0032788D" w:rsidTr="00924E98">
        <w:trPr>
          <w:jc w:val="right"/>
        </w:trPr>
        <w:tc>
          <w:tcPr>
            <w:tcW w:w="5043" w:type="dxa"/>
          </w:tcPr>
          <w:p w:rsidR="00B71BFA" w:rsidRPr="00B51A9C" w:rsidRDefault="00B71BFA" w:rsidP="00B51A9C">
            <w:pPr>
              <w:spacing w:line="276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71BFA" w:rsidRPr="0032788D" w:rsidTr="00924E98">
        <w:trPr>
          <w:jc w:val="right"/>
        </w:trPr>
        <w:tc>
          <w:tcPr>
            <w:tcW w:w="5043" w:type="dxa"/>
          </w:tcPr>
          <w:p w:rsidR="00B71BFA" w:rsidRPr="00B51A9C" w:rsidRDefault="00B71BFA" w:rsidP="00863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A9C">
              <w:rPr>
                <w:rFonts w:ascii="Times New Roman" w:hAnsi="Times New Roman" w:cs="Times New Roman"/>
                <w:sz w:val="24"/>
                <w:szCs w:val="24"/>
              </w:rPr>
              <w:t>к Программе комплексного социально-экономического развития закрытого административно-территориального образования города Заречного Пензенской области на 2015</w:t>
            </w:r>
            <w:r w:rsidRPr="00B51A9C">
              <w:rPr>
                <w:rFonts w:ascii="Times New Roman" w:hAnsi="Times New Roman" w:cs="Times New Roman"/>
                <w:sz w:val="24"/>
                <w:szCs w:val="24"/>
              </w:rPr>
              <w:noBreakHyphen/>
              <w:t>2020 годы (в ред. от 24.12.2014)</w:t>
            </w:r>
          </w:p>
        </w:tc>
      </w:tr>
    </w:tbl>
    <w:p w:rsidR="00B71BFA" w:rsidRPr="00863CB9" w:rsidRDefault="00B71BFA" w:rsidP="00756364">
      <w:pPr>
        <w:tabs>
          <w:tab w:val="left" w:pos="2244"/>
          <w:tab w:val="left" w:pos="2993"/>
        </w:tabs>
        <w:jc w:val="right"/>
        <w:rPr>
          <w:rFonts w:ascii="Times New Roman" w:hAnsi="Times New Roman" w:cs="Times New Roman"/>
          <w:sz w:val="18"/>
          <w:szCs w:val="18"/>
        </w:rPr>
      </w:pPr>
    </w:p>
    <w:p w:rsidR="00B71BFA" w:rsidRPr="003A71BC" w:rsidRDefault="00B71BFA" w:rsidP="00756364">
      <w:pPr>
        <w:tabs>
          <w:tab w:val="left" w:pos="2244"/>
          <w:tab w:val="left" w:pos="2993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A71B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Система показателей реализации Комплексной программы</w:t>
      </w:r>
    </w:p>
    <w:p w:rsidR="00B71BFA" w:rsidRPr="00863CB9" w:rsidRDefault="00B71BFA" w:rsidP="007E6523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0319" w:type="dxa"/>
        <w:tblInd w:w="-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"/>
        <w:gridCol w:w="2967"/>
        <w:gridCol w:w="7"/>
        <w:gridCol w:w="1040"/>
        <w:gridCol w:w="14"/>
        <w:gridCol w:w="1034"/>
        <w:gridCol w:w="12"/>
        <w:gridCol w:w="1038"/>
        <w:gridCol w:w="14"/>
        <w:gridCol w:w="1036"/>
        <w:gridCol w:w="12"/>
        <w:gridCol w:w="1038"/>
        <w:gridCol w:w="10"/>
        <w:gridCol w:w="1040"/>
        <w:gridCol w:w="8"/>
        <w:gridCol w:w="1040"/>
      </w:tblGrid>
      <w:tr w:rsidR="00B71BFA" w:rsidRPr="00994FBE">
        <w:trPr>
          <w:trHeight w:val="397"/>
          <w:tblHeader/>
        </w:trPr>
        <w:tc>
          <w:tcPr>
            <w:tcW w:w="1441" w:type="pct"/>
            <w:gridSpan w:val="2"/>
            <w:vMerge w:val="restar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FBE">
              <w:rPr>
                <w:rFonts w:ascii="Times New Roman" w:hAnsi="Times New Roman" w:cs="Times New Roman"/>
                <w:b/>
                <w:bCs/>
              </w:rPr>
              <w:t>Целевой индикатор</w:t>
            </w:r>
          </w:p>
        </w:tc>
        <w:tc>
          <w:tcPr>
            <w:tcW w:w="3559" w:type="pct"/>
            <w:gridSpan w:val="14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FBE">
              <w:rPr>
                <w:rFonts w:ascii="Times New Roman" w:hAnsi="Times New Roman" w:cs="Times New Roman"/>
                <w:b/>
                <w:bCs/>
              </w:rPr>
              <w:t>Значение целевого индикатора</w:t>
            </w:r>
          </w:p>
        </w:tc>
      </w:tr>
      <w:tr w:rsidR="00B71BFA" w:rsidRPr="00994FBE">
        <w:trPr>
          <w:trHeight w:val="397"/>
          <w:tblHeader/>
        </w:trPr>
        <w:tc>
          <w:tcPr>
            <w:tcW w:w="1441" w:type="pct"/>
            <w:gridSpan w:val="2"/>
            <w:vMerge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2020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994FBE">
              <w:rPr>
                <w:rFonts w:ascii="Times New Roman" w:hAnsi="Times New Roman" w:cs="Times New Roman"/>
                <w:b/>
                <w:bCs/>
                <w:caps/>
              </w:rPr>
              <w:t>Экономическое развитие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  <w:b/>
                <w:bCs/>
              </w:rPr>
            </w:pPr>
            <w:r w:rsidRPr="00994FBE">
              <w:rPr>
                <w:rFonts w:ascii="Times New Roman" w:hAnsi="Times New Roman" w:cs="Times New Roman"/>
                <w:b/>
                <w:bCs/>
              </w:rPr>
              <w:t>Цель 1. Повышение конкурентоспособности приборостроительного кластера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Задача 1.1 Рост инновационной активности и технологической кооперации предприятий кластера 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1.1.1 Объем инновационных товаров, работ и услуг организаций кластера, млн. рублей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94FBE">
              <w:rPr>
                <w:rFonts w:ascii="Times New Roman" w:hAnsi="Times New Roman" w:cs="Times New Roman"/>
              </w:rPr>
              <w:t>198,5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388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1.1.2. Товарооборот между предприятиями кластера, млн. рублей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12,6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1.1.3. Число новых резидентов кластера, единиц нарастающим итогом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12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Задача 1.2. Укрепление позиций кластера на внутреннем и внешнем рынках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ЦИ 1.2.1. Доля экспорта, % в объеме отгруженных </w:t>
            </w:r>
            <w:r w:rsidRPr="00994FBE">
              <w:rPr>
                <w:rFonts w:ascii="Times New Roman" w:hAnsi="Times New Roman" w:cs="Times New Roman"/>
                <w:lang w:eastAsia="ru-RU"/>
              </w:rPr>
              <w:t>товаров, выполненных работ и услуг в кластере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22,5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1.2.1. Объемы инвестиций в основной капитал кластера, млн рублей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121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1.2.3 Объем отгруженной продукции, работ и услуг предприятий кластера, млн рублей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1026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1587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2220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2432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2643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  <w:b/>
                <w:bCs/>
              </w:rPr>
            </w:pPr>
            <w:r w:rsidRPr="00994FBE">
              <w:rPr>
                <w:rFonts w:ascii="Times New Roman" w:hAnsi="Times New Roman" w:cs="Times New Roman"/>
                <w:b/>
                <w:bCs/>
              </w:rPr>
              <w:t>Цель 2. Диверсификация отраслевой структуры экономики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Задача 2.1 Расширение спектра и повышение качества деловых и потребительских сервисов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2.1.1 Удельный вес сферы услуг,  % в объеме отгруженных организациями ЗАТО г. Заречный  товаров, работ, услуг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8,4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ЦИ 2.1.2. Оборот торговли на душу населения в год, тысяч рублей 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164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2.1.3. Обеспеченность населения объектами общественного питания, посадочных мест в расчете на 1000 населения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60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ЦИ 2.1.4. Обеспеченность населения объектами бытовых услуг, единиц в </w:t>
            </w:r>
            <w:r w:rsidRPr="00994FBE">
              <w:rPr>
                <w:rFonts w:ascii="Times New Roman" w:hAnsi="Times New Roman" w:cs="Times New Roman"/>
              </w:rPr>
              <w:lastRenderedPageBreak/>
              <w:t>расчете на 1000 жителей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3,0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lastRenderedPageBreak/>
              <w:t>ЦИ 2.1.5 Обеспеченность населения объектами торговли, квадратных метров торговой площади в расчете на 1000 населения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530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Задача 2.2. Создание условий для развития новых отраслей реального сектора экономики, ориентированных на внутреннее потребление 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2.2.1 Темпы роста объема отгруженной продукции в пищевой промышленности, % к предыдущему году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113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ЦИ 2.2.2 Темп роста объемов отгруженной продукции в производствах небазового сектора промышленности, % к 2013 году 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156,5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210,7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237,8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234,9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292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rPr>
                <w:rFonts w:ascii="Times New Roman" w:hAnsi="Times New Roman" w:cs="Times New Roman"/>
                <w:b/>
                <w:bCs/>
              </w:rPr>
            </w:pPr>
            <w:r w:rsidRPr="00994FBE">
              <w:rPr>
                <w:rFonts w:ascii="Times New Roman" w:hAnsi="Times New Roman" w:cs="Times New Roman"/>
                <w:b/>
                <w:bCs/>
              </w:rPr>
              <w:t>Цель 3. Рост деловой и предпринимательской активности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Задача 3.1 Повышение конкурентоспособности действующих субъектов малого и среднего бизнеса 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ind w:left="8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3.1.1 Удельный вес малых и средних предприятий, % в выручке предприятий города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37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  <w:strike/>
              </w:rPr>
            </w:pPr>
            <w:r w:rsidRPr="00994FBE">
              <w:rPr>
                <w:rFonts w:ascii="Times New Roman" w:hAnsi="Times New Roman" w:cs="Times New Roman"/>
              </w:rPr>
              <w:t>Задача 3.2 Содействие созданию новых бизнесов</w:t>
            </w:r>
            <w:r w:rsidRPr="00994FBE">
              <w:rPr>
                <w:rFonts w:ascii="Times New Roman" w:hAnsi="Times New Roman" w:cs="Times New Roman"/>
                <w:strike/>
              </w:rPr>
              <w:t xml:space="preserve"> 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ind w:left="8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3.2.1 Темп роста среднесписочной численности работников малых и средних предприятий, % к 2013 году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keepNext/>
              <w:keepLines/>
              <w:tabs>
                <w:tab w:val="left" w:pos="1671"/>
              </w:tabs>
              <w:jc w:val="center"/>
              <w:outlineLvl w:val="1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150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ind w:left="8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3.2.2 Количество субъектов малого и среднего предпринимательства, единиц на 1 тыс. человек населения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keepNext/>
              <w:keepLines/>
              <w:tabs>
                <w:tab w:val="left" w:pos="1671"/>
              </w:tabs>
              <w:jc w:val="center"/>
              <w:outlineLvl w:val="1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48,3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994FBE" w:rsidRDefault="00B71BFA" w:rsidP="007E6523">
            <w:pPr>
              <w:keepNext/>
              <w:keepLines/>
              <w:tabs>
                <w:tab w:val="left" w:pos="1671"/>
              </w:tabs>
              <w:outlineLvl w:val="1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3.2.3 Темп роста оборота малых и средних предприятий, % к предыдущему году</w:t>
            </w:r>
          </w:p>
        </w:tc>
        <w:tc>
          <w:tcPr>
            <w:tcW w:w="511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119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BC3AB9" w:rsidRDefault="00B71BFA" w:rsidP="007E6523">
            <w:pPr>
              <w:rPr>
                <w:rFonts w:ascii="Times New Roman" w:hAnsi="Times New Roman" w:cs="Times New Roman"/>
                <w:b/>
                <w:bCs/>
              </w:rPr>
            </w:pPr>
            <w:r w:rsidRPr="00BC3AB9">
              <w:rPr>
                <w:rFonts w:ascii="Times New Roman" w:hAnsi="Times New Roman" w:cs="Times New Roman"/>
                <w:b/>
                <w:bCs/>
              </w:rPr>
              <w:t>Цель 4. Повышение инвестиционной активности в экономике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Задача 4.1 Повышение инвестиционной привлекательности 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4.1.1 Темп роста объема отгруженной продукции, работ, услуг предприятиями и организациями города, % к 2013 году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251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4.2. Улучшение инвестиционного климата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4.2.1 Коэффициент износа основных фондов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54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4.2.2 Темп роста инвестиций в основной капитал, % к 2013 году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218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Задача 4.3. Формирование системы управления маркетингом города 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ЦИ 4.3.1 Темп роста индекса цитируемости, % к </w:t>
            </w:r>
            <w:r w:rsidRPr="007E6523">
              <w:rPr>
                <w:rFonts w:ascii="Times New Roman" w:hAnsi="Times New Roman" w:cs="Times New Roman"/>
              </w:rPr>
              <w:lastRenderedPageBreak/>
              <w:t xml:space="preserve">предыдущему периоду 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140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lastRenderedPageBreak/>
              <w:t>ЦИ 4.3.2 Число бизнес-проектов, получивших маркетинговое сопровождение, единиц нарастающим итогом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15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  <w:b/>
                <w:bCs/>
              </w:rPr>
            </w:pPr>
            <w:r w:rsidRPr="007E6523">
              <w:rPr>
                <w:rFonts w:ascii="Times New Roman" w:hAnsi="Times New Roman" w:cs="Times New Roman"/>
                <w:b/>
                <w:bCs/>
              </w:rPr>
              <w:t xml:space="preserve">Цель 5. Создание конкурентоспособного, структурно сбалансированного сектора новой экономики 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Задача 5.1 Стимулирование технологического обновления высокотехнологичного сектора 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keepNext/>
              <w:keepLines/>
              <w:tabs>
                <w:tab w:val="left" w:pos="1671"/>
              </w:tabs>
              <w:outlineLvl w:val="3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5.1.1. Производительность, тысяч рублей на одного занятого в экономике города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keepNext/>
              <w:keepLines/>
              <w:tabs>
                <w:tab w:val="left" w:pos="1671"/>
              </w:tabs>
              <w:jc w:val="center"/>
              <w:outlineLvl w:val="3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746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keepNext/>
              <w:keepLines/>
              <w:tabs>
                <w:tab w:val="left" w:pos="1671"/>
              </w:tabs>
              <w:jc w:val="center"/>
              <w:outlineLvl w:val="3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971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keepNext/>
              <w:keepLines/>
              <w:tabs>
                <w:tab w:val="left" w:pos="1671"/>
              </w:tabs>
              <w:jc w:val="center"/>
              <w:outlineLvl w:val="3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1089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Next/>
              <w:keepLines/>
              <w:tabs>
                <w:tab w:val="left" w:pos="1671"/>
              </w:tabs>
              <w:jc w:val="center"/>
              <w:outlineLvl w:val="3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Next/>
              <w:keepLines/>
              <w:tabs>
                <w:tab w:val="left" w:pos="1671"/>
              </w:tabs>
              <w:jc w:val="center"/>
              <w:outlineLvl w:val="3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1338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Next/>
              <w:keepLines/>
              <w:tabs>
                <w:tab w:val="left" w:pos="1671"/>
              </w:tabs>
              <w:jc w:val="center"/>
              <w:outlineLvl w:val="3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1469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keepNext/>
              <w:keepLines/>
              <w:tabs>
                <w:tab w:val="left" w:pos="1671"/>
              </w:tabs>
              <w:jc w:val="center"/>
              <w:outlineLvl w:val="3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1604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Задача 5.2. Содействие росту инновационной активности хозяйствующих субъектов 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 5.2.1. Прирост числа малых инновационных предприятий, единиц в год нарастающим итогом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12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5.2.2. Доля предприятий, осуществляющих технологические инновации, %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Задача 5.3. Развитие инновационной инфраструктуры 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5.3.1. Число резидентов-субъектов инновационно-технологического парка (технопарка), единиц</w:t>
            </w:r>
            <w:r w:rsidRPr="007E6523">
              <w:rPr>
                <w:rFonts w:ascii="Times New Roman" w:hAnsi="Times New Roman" w:cs="Times New Roman"/>
                <w:kern w:val="24"/>
                <w:lang w:eastAsia="ru-RU"/>
              </w:rPr>
              <w:t xml:space="preserve"> нарастающим итогом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63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  <w:b/>
                <w:bCs/>
              </w:rPr>
            </w:pPr>
            <w:r w:rsidRPr="007E6523">
              <w:rPr>
                <w:rFonts w:ascii="Times New Roman" w:hAnsi="Times New Roman" w:cs="Times New Roman"/>
                <w:b/>
                <w:bCs/>
              </w:rPr>
              <w:t xml:space="preserve">Цель 6. Повышение эффективности использования кадрового потенциала города 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Задача 6.1 Повышение качества трудовых ресурсов 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6.1.1 Доля занятого населения в возрасте от 25 до 65 лет, прошедшего повышение квалификации и (или) профессиональную подготовку, % в общей численности занятого в области экономики населения этой возрастной группы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50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6.1.2. Удельный вес работников крупных и средних предприятий, охваченных внутрипроизводственным обучением (с периодичностью обучения не более 5 лет), %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80</w:t>
            </w:r>
            <w:r w:rsidRPr="007E6523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keepNext/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Задача 6.2 Содействие трудоустройству населения и социальная поддержка безработных граждан 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209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ЦИ 6.2.1. Численность безработных, зарегистрированных в </w:t>
            </w:r>
            <w:r w:rsidRPr="007E6523">
              <w:rPr>
                <w:rFonts w:ascii="Times New Roman" w:hAnsi="Times New Roman" w:cs="Times New Roman"/>
              </w:rPr>
              <w:lastRenderedPageBreak/>
              <w:t xml:space="preserve">государственных учреждениях службы занятости, человек 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lastRenderedPageBreak/>
              <w:t>505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315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56364">
            <w:pPr>
              <w:keepNext/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FBE">
              <w:rPr>
                <w:rFonts w:ascii="Times New Roman" w:hAnsi="Times New Roman" w:cs="Times New Roman"/>
                <w:b/>
                <w:bCs/>
                <w:caps/>
              </w:rPr>
              <w:lastRenderedPageBreak/>
              <w:t>Развитие инфраструктуры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56364">
            <w:pPr>
              <w:keepNext/>
              <w:tabs>
                <w:tab w:val="left" w:pos="1671"/>
              </w:tabs>
              <w:rPr>
                <w:rFonts w:ascii="Times New Roman" w:hAnsi="Times New Roman" w:cs="Times New Roman"/>
                <w:b/>
                <w:bCs/>
              </w:rPr>
            </w:pPr>
            <w:r w:rsidRPr="007E6523">
              <w:rPr>
                <w:rFonts w:ascii="Times New Roman" w:hAnsi="Times New Roman" w:cs="Times New Roman"/>
                <w:b/>
                <w:bCs/>
              </w:rPr>
              <w:t>Цель 1. Обеспечение населения доступным и качественным жильем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1.1 Стимулирование развития нового жилищного строительства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keepLines/>
              <w:tabs>
                <w:tab w:val="left" w:pos="1671"/>
              </w:tabs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1.1.1 Ввод в действие жилья на душу населения, кв. м на 1 жителя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0,37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keepLines/>
              <w:tabs>
                <w:tab w:val="left" w:pos="1671"/>
              </w:tabs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1.1.2 Объем инвестиций в обеспечение земельных участков инженерной инфраструктурой под комплексную жилую застройку, млн рублей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259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1.1.3 Обеспеченность населения жильем, общая площадь жилых помещений на душу населения, кв. м на 1 жителя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22,4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1.1.4 Доля очередников на получение жилья и улучшение жилищных условий, % от общей численности населения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3,5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1.1.5 Коэффициент доступности жилья (соотношение средней рыночной стоимости стандартной квартиры общей площадью 54 кв. м и среднего годового совокупного денежного дохода семьи, состоящей из 3 человек), лет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1.2 Капитальный ремонт существующего жилого фонда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1.2.1 Износ жилого фонда, %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24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6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1.2.2 Объем инвестиций в капитальный ремонт и повышение энергоэффективности жилого фонда, млн рублей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257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  <w:b/>
                <w:bCs/>
              </w:rPr>
              <w:t>Цель 2. Обеспечение надежного и бесперебойного электроснабжения города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2.1 Строительство новой городской понизительной подстанции (ГПП-4)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2.1.1 Установленная мощность городских центров питания, МВт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2.2 Модернизация существующей электросетевой инфраструктуры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2.2.1 Доля фактических потерь электроэнергии, % от передаваемой по электросетям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2,7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lastRenderedPageBreak/>
              <w:t>ЦИ 2.2.2 Износ электрических сетей, %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36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2.2.3 Износ трансформаторных подстанций, %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59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2.3 Привлечение инвестиций в развитие электросетевой инфраструктуры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2.3.1 Объем инвестиций в электросетевую инфраструктуру, млн рублей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380,6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509,5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52,4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  <w:b/>
                <w:bCs/>
              </w:rPr>
              <w:t>Цель 3. Обеспечение надежного и бесперебойного ресурсоснабжения города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3.1 Модернизация городских ресурсных центров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3.1.1 Установленная мощность городских котельных, Гкал/час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413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3.1.2 Установленная мощность очистных сооружений водоснабжения, тыс. куб. м в сутки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75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3.1.3 Установленная мощность очистных сооружений водоотведения, тыс. куб. м в сутки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40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3.1.4 Пропускная способность газораспределительной станции, тыс. куб. м в сутки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1 800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1 800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1 800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1 800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1 800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1 800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1 800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3.2  Реконструкция и модернизация существующей коммунальной инфраструктуры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3.2.1 Доля фактических потерь тепловой энергии, % в общем объеме отпуска тепловой энергии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9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3.2.2 Износ тепловых сетей,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41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3.2.3 Износ котельных,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37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3.2.4 Доля фактических потерь воды, % в общем объеме подаваемой в сеть воды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3.2.5 Износ сетей водоснабжения,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53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3.2.6 Износ оборудования очистных сооружений водоснабжения,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38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3.2.7 Износ сетей водоотведения,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54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3.2.8 Износ оборудования очистных сооружений канализации,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46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3.2.9 Износ сетей газоснабжения,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42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widowControl w:val="0"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3.2.10 Износ оборудования ГРП,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widowControl w:val="0"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48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keepNext/>
              <w:widowControl w:val="0"/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lastRenderedPageBreak/>
              <w:t>Задача 3.3 Привлечение инвестиций в реконструкцию и модернизацию коммунальной инфраструктуры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keepLines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3.3.1 Объем инвестиций в объекты теплоснабжения, млн рублей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109,6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241,3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324,3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408,0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454,3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keepLines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3.3.2 Объем инвестиций в объекты водоснабжения, млн рублей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115,1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134,9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157,7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171,2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keepLines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3.3.3 Объем инвестиций в объекты водоотведения, млн рублей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92,9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140,2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301,5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370,9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174,9</w:t>
            </w:r>
          </w:p>
        </w:tc>
      </w:tr>
      <w:tr w:rsidR="00B71BFA" w:rsidRPr="00994FBE">
        <w:trPr>
          <w:trHeight w:val="397"/>
        </w:trPr>
        <w:tc>
          <w:tcPr>
            <w:tcW w:w="1441" w:type="pct"/>
            <w:gridSpan w:val="2"/>
            <w:vAlign w:val="center"/>
          </w:tcPr>
          <w:p w:rsidR="00B71BFA" w:rsidRPr="007E6523" w:rsidRDefault="00B71BFA" w:rsidP="007E6523">
            <w:pPr>
              <w:keepLines/>
              <w:tabs>
                <w:tab w:val="left" w:pos="1671"/>
              </w:tabs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3.3.4 Объем инвестиций в объекты газоснабжения, млн рублей</w:t>
            </w:r>
          </w:p>
        </w:tc>
        <w:tc>
          <w:tcPr>
            <w:tcW w:w="511" w:type="pct"/>
            <w:gridSpan w:val="3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keepLines/>
              <w:jc w:val="center"/>
              <w:outlineLvl w:val="8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11,9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keepNext/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  <w:b/>
                <w:bCs/>
              </w:rPr>
              <w:t>Цель 4. Обеспечение эффективной системы городских коммуникаций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4.1 Модернизация и развитие существующей автодорожной инфраструктуры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4.1.1 Доля автодорог, подлежащая капитальному ремонту, % от протяженности улично-дорожной сети города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21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4.1.2 Объем инвестиций на капитальный ремонт автодорог и обустройство внутридомовых территорий, млн рублей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119,7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141,0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159,0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360,5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1179,3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1838,5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4.1.3 Обеспеченность парковочными местами, количество автомобилей на 1 организованное парковочное место (шт)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12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4.2 Модернизация и развитие общественного транспорта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4.2.1 Износ подвижного состава городского общественного транспорта,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7E652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7E652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7E652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7E652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7E652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7E652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7E6523">
              <w:rPr>
                <w:rFonts w:ascii="Times New Roman" w:hAnsi="Times New Roman" w:cs="Times New Roman"/>
              </w:rPr>
              <w:t>61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4.2.2 Объем инвестиций в общественный транспорт, млн рублей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7,8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4.3 Модернизация инфраструктуры связи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4.3.1 Износ сетей связи,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46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4.3.2 Объем инвестиций в связь, млн рублей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3,5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  <w:b/>
                <w:bCs/>
              </w:rPr>
              <w:t>Цель 5. Повышение эффективности управления муниципальным имуществом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5.1 Оптимизация объема муниципальной собственности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 5.1.1 Площадь недвижимого имущества, находящегося в ведении муниципальных предприятий, тыс. кв. м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176,6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135,8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113,2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22,6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 5.2. Вовлечение в хозяйственный оборот высвобождающихся производственных площадей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ЦИ  5.2.1 Площадь объектов муниципальной недвижимости, используемых </w:t>
            </w:r>
            <w:r w:rsidRPr="007E6523">
              <w:rPr>
                <w:rFonts w:ascii="Times New Roman" w:hAnsi="Times New Roman" w:cs="Times New Roman"/>
              </w:rPr>
              <w:lastRenderedPageBreak/>
              <w:t>для развития инновационной инфраструктуры, тыс. кв. м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0,0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294C65">
            <w:pPr>
              <w:keepNext/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FBE">
              <w:rPr>
                <w:rFonts w:ascii="Times New Roman" w:hAnsi="Times New Roman" w:cs="Times New Roman"/>
                <w:b/>
                <w:bCs/>
                <w:caps/>
              </w:rPr>
              <w:lastRenderedPageBreak/>
              <w:t>Развитие налогово-бюджетной системы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56364">
            <w:pPr>
              <w:keepNext/>
              <w:tabs>
                <w:tab w:val="left" w:pos="1671"/>
              </w:tabs>
              <w:rPr>
                <w:rFonts w:ascii="Times New Roman" w:hAnsi="Times New Roman" w:cs="Times New Roman"/>
                <w:b/>
                <w:bCs/>
              </w:rPr>
            </w:pPr>
            <w:r w:rsidRPr="00994FBE">
              <w:rPr>
                <w:rFonts w:ascii="Times New Roman" w:hAnsi="Times New Roman" w:cs="Times New Roman"/>
                <w:b/>
                <w:bCs/>
              </w:rPr>
              <w:t>Цель 1.  Обеспечение устойчивости и сбалансированности бюджета г. Заречного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Задача 1.1 Диверсификация структуры доходов муниципального бюджета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1.1.1 Доля собственных доходов в общем объеме доходов бюджета,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31,8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1.1.1 Доля налоговых поступлений, % в общем объеме доходов бюджета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22,0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1.1.2 Доля безвозмездных поступлений, % в общем объеме доходов бюджета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507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80,6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68,2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keepNext/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Задача 2 Оптимизация структуры и повышение эффективности управления бюджетными расходами 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1.2.1 Дефицит бюджета,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-2,8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Задача 3. Внедрение современных механизмов управления муниципальными финансами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1.3.1 Доля программных расходов бюджета,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97,0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1.3.2 Проведение аудита эффективности реализации муниципальных программ, единиц проверок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10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06" w:type="pct"/>
            <w:vAlign w:val="center"/>
          </w:tcPr>
          <w:p w:rsidR="00B71BFA" w:rsidRPr="007E6523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да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294C65">
            <w:pPr>
              <w:keepNext/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FBE">
              <w:rPr>
                <w:rFonts w:ascii="Times New Roman" w:hAnsi="Times New Roman" w:cs="Times New Roman"/>
                <w:b/>
                <w:bCs/>
                <w:caps/>
              </w:rPr>
              <w:t>Социальное развитие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keepNext/>
              <w:tabs>
                <w:tab w:val="left" w:pos="1671"/>
              </w:tabs>
              <w:rPr>
                <w:rFonts w:ascii="Times New Roman" w:hAnsi="Times New Roman" w:cs="Times New Roman"/>
                <w:b/>
                <w:bCs/>
              </w:rPr>
            </w:pPr>
            <w:r w:rsidRPr="00994FBE">
              <w:rPr>
                <w:rFonts w:ascii="Times New Roman" w:hAnsi="Times New Roman" w:cs="Times New Roman"/>
                <w:b/>
                <w:bCs/>
              </w:rPr>
              <w:t>Цель 1. Повышение качества образования и развитие творческого потенциала населения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Задача 1.1 Создание единой образовательной информационной инфраструктуры 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1.1.1 Доля образовательных организаций, имеющих действующий сайт со скоростью передачи информации  от 2 до 5 Мб/сек,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1.1.2 Доля учреждений общего и дополнительного образования, использующий дистанционные технологии, % общего числа организаций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80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keepNext/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Задача 1.2 Укрепление материально-технической базы образовательных учреждений 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1.2.1 Удельный вес образовательных учреждений, требующих капитального ремонта, % в общем количестве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0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1.2.3 Число персональных компьютеров, штук на 100 обучающихся образовательных учреждений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46,2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Удельный вес образовательных организаций, </w:t>
            </w:r>
            <w:r w:rsidRPr="00994FBE">
              <w:rPr>
                <w:rFonts w:ascii="Times New Roman" w:hAnsi="Times New Roman" w:cs="Times New Roman"/>
              </w:rPr>
              <w:lastRenderedPageBreak/>
              <w:t xml:space="preserve">соответствующих нормам введения ФГОС, % 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71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lastRenderedPageBreak/>
              <w:t>Задача 1.3 Развитие потенциала талантливых детей и молодежи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ЦИ  1.3.1 Доля участников интеллектуальных и творческих конкурсных мероприятий для детей и молодежи, % от общего числа детей 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89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ЦИ  1.3.2 </w:t>
            </w:r>
          </w:p>
          <w:p w:rsidR="00B71BFA" w:rsidRPr="00994FBE" w:rsidRDefault="00B71BFA" w:rsidP="007E65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Доля детей, охваченных образовательными программами дополнительного образования детей, % от общего числа детей, обучающихся в общеобразовательных учреждениях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87,8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98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  <w:b/>
                <w:bCs/>
              </w:rPr>
              <w:t>Цель 2. Улучшение здоровья населения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Задача 2.1 Формирование имиджа здорового образа жизни  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2.1.1 Охват диспансерным наблюдением, человек на 1000 человек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337,4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358,0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386,1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409,4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428,9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465,2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526,3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2.1.2 Продолжительность жизни населения, лет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69,8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keepNext/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Задача 2.2 Развитие реабилитационной медицины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2.2.1 Заболеваемость взрослого населения старше 18 лет, человек на 1000 человек данной возрастной категории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1157,4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1153,0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1151,3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1149,9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1148,8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1147,8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1143,0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ЦИ  2.2.2 Смертность населения, человек на 1000 человек 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11,2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  <w:b/>
                <w:bCs/>
              </w:rPr>
              <w:t xml:space="preserve">Цель 3. Развитие культурного и духовного потенциала личности и общества 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Задача 3.1 Совершенствование инфраструктуры городской культурной среды 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3.1.1 Обеспеченность культурно досуговыми объектами, человек на 10 тысяч населения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1,7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ЦИ  3.1.2. Удельный вес культурно-досуговых объектов, требующих капитального ремонта, % к общему количеству 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0,0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Задача 3.2  Социализация и развитие творческих инициатив молодежи 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ЦИ  3.2.1 Отношение количества жителей, участвующих в культурно-досуговых мероприятиях, проводимых муниципальными организациями культуры, к </w:t>
            </w:r>
            <w:r w:rsidRPr="00994FBE">
              <w:rPr>
                <w:rFonts w:ascii="Times New Roman" w:hAnsi="Times New Roman" w:cs="Times New Roman"/>
              </w:rPr>
              <w:lastRenderedPageBreak/>
              <w:t>численности населения,  %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lastRenderedPageBreak/>
              <w:t>107,4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109,8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111,2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lastRenderedPageBreak/>
              <w:t xml:space="preserve">ЦИ  3.2.2 Число организованных культурно-просветительных мероприятий, единиц 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4333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3550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3700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3.2.3</w:t>
            </w:r>
          </w:p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Число проведенных мероприятий, направленных на патриотическое воспитание детей, единиц 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168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  <w:b/>
                <w:bCs/>
              </w:rPr>
              <w:t xml:space="preserve">Цель 4. Создание благоприятных условий для занятий физической культурой и спортом 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Задача 4.1 Обеспечение доступности занятий физической культурой и спортом для всех возрастов и социальных категорий населения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4.1.1 Доля населения, регулярно занимающаяся физической культурой и спортом, % общей численности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40,0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4.1.2 Удельный вес объектов физической культуры и спорта, требующих капитального ремонта, % в общем количестве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0,0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Задача 4.2 Развитие физической культуры и спорта в образовательных учреждениях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4.2.1 Доля детей школьного возраста систематически занимающихся физической культурой и спортом, % от общего числа обучающихся в общеобразовательных учреждениях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72,0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  <w:b/>
                <w:bCs/>
              </w:rPr>
              <w:t>Цель 5. Создание эффективной системы социальной поддержки населения города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Задача 5.1 Повышение качества предоставляемых социальных услуг населению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5.1.1 Доля граждан, обратившихся за социальной поддержкой, повторно,  % от общего числа обратившихся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19,5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ЦИ  5.1.2 Доля молодых семей получивших социальную поддержку, % от общего числа нуждающихся молодых семей, соответствующих условиям программ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100,0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Задача 5.2 Формирование доступной среды жизнедеятельности для лиц с ограниченными возможностями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 xml:space="preserve">ЦИ  5.2.1 Доля граждан, обеспеченных техническими средствами, вспомогательными устройствами и приспособлениями для быта, труда, обучения,  % от общего </w:t>
            </w:r>
            <w:r w:rsidRPr="00994FBE">
              <w:rPr>
                <w:rFonts w:ascii="Times New Roman" w:hAnsi="Times New Roman" w:cs="Times New Roman"/>
              </w:rPr>
              <w:lastRenderedPageBreak/>
              <w:t>числа нуждающихся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lastRenderedPageBreak/>
              <w:t>9,4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100,0</w:t>
            </w:r>
          </w:p>
        </w:tc>
      </w:tr>
      <w:tr w:rsidR="00B71BFA" w:rsidRPr="00994FBE">
        <w:trPr>
          <w:trHeight w:val="397"/>
        </w:trPr>
        <w:tc>
          <w:tcPr>
            <w:tcW w:w="1444" w:type="pct"/>
            <w:gridSpan w:val="3"/>
            <w:vAlign w:val="center"/>
          </w:tcPr>
          <w:p w:rsidR="00B71BFA" w:rsidRPr="00994FBE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lastRenderedPageBreak/>
              <w:t>ЦИ  5.2.2, Число  инвалидов, ветеранов и других граждан города, принявших участие в социокультурных мероприятиях, человек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507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5080</w:t>
            </w:r>
          </w:p>
        </w:tc>
        <w:tc>
          <w:tcPr>
            <w:tcW w:w="510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5160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5610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5643</w:t>
            </w:r>
          </w:p>
        </w:tc>
        <w:tc>
          <w:tcPr>
            <w:tcW w:w="508" w:type="pct"/>
            <w:gridSpan w:val="2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5665</w:t>
            </w:r>
          </w:p>
        </w:tc>
        <w:tc>
          <w:tcPr>
            <w:tcW w:w="506" w:type="pct"/>
            <w:vAlign w:val="center"/>
          </w:tcPr>
          <w:p w:rsidR="00B71BFA" w:rsidRPr="00994FBE" w:rsidRDefault="00B71BFA" w:rsidP="007E6523">
            <w:pPr>
              <w:jc w:val="center"/>
              <w:rPr>
                <w:rFonts w:ascii="Times New Roman" w:hAnsi="Times New Roman" w:cs="Times New Roman"/>
              </w:rPr>
            </w:pPr>
            <w:r w:rsidRPr="00994FBE">
              <w:rPr>
                <w:rFonts w:ascii="Times New Roman" w:hAnsi="Times New Roman" w:cs="Times New Roman"/>
              </w:rPr>
              <w:t>5698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294C65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FBE">
              <w:rPr>
                <w:rFonts w:ascii="Times New Roman" w:hAnsi="Times New Roman" w:cs="Times New Roman"/>
                <w:b/>
                <w:bCs/>
                <w:caps/>
              </w:rPr>
              <w:t>Развитие градообразующего предприятия</w:t>
            </w:r>
          </w:p>
        </w:tc>
      </w:tr>
      <w:tr w:rsidR="00B71BFA" w:rsidRPr="00994FBE">
        <w:trPr>
          <w:trHeight w:val="397"/>
        </w:trPr>
        <w:tc>
          <w:tcPr>
            <w:tcW w:w="5000" w:type="pct"/>
            <w:gridSpan w:val="16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  <w:b/>
                <w:bCs/>
              </w:rPr>
            </w:pPr>
            <w:r w:rsidRPr="007E6523">
              <w:rPr>
                <w:rFonts w:ascii="Times New Roman" w:hAnsi="Times New Roman" w:cs="Times New Roman"/>
                <w:b/>
                <w:bCs/>
              </w:rPr>
              <w:t>Цель 1. Диверсификация производства, обеспечивающая выпуск конкурентоспособной, высокотехнологичной приборостроительной продукции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5000" w:type="pct"/>
            <w:gridSpan w:val="15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Задача 1.1 Расширение номенклатуры и повышение эффективности производства продукции гражданского назначения 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1437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1.1.1 Прирост выручки за счет расширения номенклатуры и повышения эффективности гражданских производств, млн рублей в год</w:t>
            </w:r>
          </w:p>
        </w:tc>
        <w:tc>
          <w:tcPr>
            <w:tcW w:w="504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4" w:type="pct"/>
            <w:gridSpan w:val="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1437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1.1.2 Число создаваемых рабочих мест, человек</w:t>
            </w:r>
          </w:p>
        </w:tc>
        <w:tc>
          <w:tcPr>
            <w:tcW w:w="50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5000" w:type="pct"/>
            <w:gridSpan w:val="15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Задача 1.2 Развитие импортозамещающих производств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1437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ЦИ 1.2.1 Прирост выручки от производства импортозамещающей продукции, млн. рублей в год </w:t>
            </w:r>
          </w:p>
        </w:tc>
        <w:tc>
          <w:tcPr>
            <w:tcW w:w="50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1437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1.2.2 Число создаваемых рабочих мест на импортозамещающих производствах, человек</w:t>
            </w:r>
          </w:p>
        </w:tc>
        <w:tc>
          <w:tcPr>
            <w:tcW w:w="50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1437" w:type="pct"/>
            <w:vAlign w:val="center"/>
          </w:tcPr>
          <w:p w:rsidR="00B71BFA" w:rsidRPr="007E6523" w:rsidRDefault="00B71BFA" w:rsidP="002B287B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ЦИ 1.2.3 Удельный вес инновационной продукции,  в % к общему объему выпуска </w:t>
            </w:r>
            <w:r>
              <w:rPr>
                <w:rFonts w:ascii="Times New Roman" w:hAnsi="Times New Roman" w:cs="Times New Roman"/>
              </w:rPr>
              <w:t>ФГУП ФНПЦ "ПО "Старт" им. М.В. Проценко"</w:t>
            </w:r>
          </w:p>
        </w:tc>
        <w:tc>
          <w:tcPr>
            <w:tcW w:w="50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5000" w:type="pct"/>
            <w:gridSpan w:val="15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Задача 1.3 Развитие сборочно-снаряжательного производства продукции вооружения и военной техники 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1437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  <w:strike/>
              </w:rPr>
            </w:pPr>
            <w:r w:rsidRPr="007E6523">
              <w:rPr>
                <w:rFonts w:ascii="Times New Roman" w:hAnsi="Times New Roman" w:cs="Times New Roman"/>
              </w:rPr>
              <w:t>ЦИ 1.3.1 Прирост товарного выпуска продукции сборочно-снаряжательного и обеспечивающих производств, млн. рублей в год</w:t>
            </w:r>
          </w:p>
        </w:tc>
        <w:tc>
          <w:tcPr>
            <w:tcW w:w="50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1437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ЦИ 1.3.2 Число созданных в сборочно-снаряжательном и обеспечивающих производствах рабочих мест, человек </w:t>
            </w:r>
          </w:p>
        </w:tc>
        <w:tc>
          <w:tcPr>
            <w:tcW w:w="50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5000" w:type="pct"/>
            <w:gridSpan w:val="15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Задача 1.4 Развитие производства приборов, устройств и оборудования, систем управления технологическими процессами на  объектах атомной энергетики 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1437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ЦИ 1.4.1 Прирост выручки от производства приборов, устройств и оборудования систем управления технологическими процессами объектов атомной энергетики, млн рублей в год </w:t>
            </w:r>
          </w:p>
        </w:tc>
        <w:tc>
          <w:tcPr>
            <w:tcW w:w="50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1437" w:type="pct"/>
            <w:vAlign w:val="center"/>
          </w:tcPr>
          <w:p w:rsidR="00B71BFA" w:rsidRPr="007E6523" w:rsidRDefault="00B71BFA" w:rsidP="00DA6FBA">
            <w:pPr>
              <w:keepNext/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lastRenderedPageBreak/>
              <w:t>ЦИ 1.4.2 Число созданных в производстве систем и приборов для атомной энергетики рабочих мест, человек</w:t>
            </w:r>
          </w:p>
        </w:tc>
        <w:tc>
          <w:tcPr>
            <w:tcW w:w="504" w:type="pct"/>
            <w:gridSpan w:val="2"/>
            <w:vAlign w:val="center"/>
          </w:tcPr>
          <w:p w:rsidR="00B71BFA" w:rsidRPr="007E6523" w:rsidRDefault="00B71BFA" w:rsidP="00DA6FBA">
            <w:pPr>
              <w:keepNext/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DA6FBA">
            <w:pPr>
              <w:keepNext/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DA6FBA">
            <w:pPr>
              <w:keepNext/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DA6FBA">
            <w:pPr>
              <w:keepNext/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DA6FBA">
            <w:pPr>
              <w:keepNext/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DA6FBA">
            <w:pPr>
              <w:keepNext/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4" w:type="pct"/>
            <w:gridSpan w:val="2"/>
            <w:vAlign w:val="center"/>
          </w:tcPr>
          <w:p w:rsidR="00B71BFA" w:rsidRPr="007E6523" w:rsidRDefault="00B71BFA" w:rsidP="00DA6FBA">
            <w:pPr>
              <w:keepNext/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5000" w:type="pct"/>
            <w:gridSpan w:val="15"/>
            <w:shd w:val="clear" w:color="auto" w:fill="F2F2F2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 xml:space="preserve">Задача 1.5 Повышение кадрового потенциала предприятия 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1437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1.5.1 Численность персонала, прошедшего переподготовку и обучение</w:t>
            </w:r>
          </w:p>
        </w:tc>
        <w:tc>
          <w:tcPr>
            <w:tcW w:w="50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71BFA" w:rsidRPr="00994FBE">
        <w:trPr>
          <w:gridBefore w:val="1"/>
          <w:trHeight w:val="397"/>
        </w:trPr>
        <w:tc>
          <w:tcPr>
            <w:tcW w:w="1437" w:type="pct"/>
            <w:vAlign w:val="center"/>
          </w:tcPr>
          <w:p w:rsidR="00B71BFA" w:rsidRPr="007E6523" w:rsidRDefault="00B71BFA" w:rsidP="007E6523">
            <w:pPr>
              <w:tabs>
                <w:tab w:val="left" w:pos="1671"/>
              </w:tabs>
              <w:rPr>
                <w:rFonts w:ascii="Times New Roman" w:hAnsi="Times New Roman" w:cs="Times New Roman"/>
              </w:rPr>
            </w:pPr>
            <w:r w:rsidRPr="007E6523">
              <w:rPr>
                <w:rFonts w:ascii="Times New Roman" w:hAnsi="Times New Roman" w:cs="Times New Roman"/>
              </w:rPr>
              <w:t>ЦИ 1.5.2 Количество разработанных (пройденных) программ повышения квалификации</w:t>
            </w:r>
          </w:p>
        </w:tc>
        <w:tc>
          <w:tcPr>
            <w:tcW w:w="50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8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09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14" w:type="pct"/>
            <w:gridSpan w:val="2"/>
            <w:vAlign w:val="center"/>
          </w:tcPr>
          <w:p w:rsidR="00B71BFA" w:rsidRPr="007E6523" w:rsidRDefault="00B71BFA" w:rsidP="00BC3AB9">
            <w:pPr>
              <w:tabs>
                <w:tab w:val="left" w:pos="16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</w:tbl>
    <w:p w:rsidR="00B71BFA" w:rsidRPr="007E6523" w:rsidRDefault="00B71BFA" w:rsidP="007E65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– значения не приводятся</w:t>
      </w:r>
    </w:p>
    <w:sectPr w:rsidR="00B71BFA" w:rsidRPr="007E6523" w:rsidSect="00520044">
      <w:footerReference w:type="default" r:id="rId6"/>
      <w:pgSz w:w="11906" w:h="16838" w:code="9"/>
      <w:pgMar w:top="567" w:right="567" w:bottom="851" w:left="1134" w:header="709" w:footer="397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87D" w:rsidRDefault="00DE287D" w:rsidP="007F1664">
      <w:r>
        <w:separator/>
      </w:r>
    </w:p>
  </w:endnote>
  <w:endnote w:type="continuationSeparator" w:id="0">
    <w:p w:rsidR="00DE287D" w:rsidRDefault="00DE287D" w:rsidP="007F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bertus Medium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BFA" w:rsidRPr="00B747FD" w:rsidRDefault="00B71BFA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B747FD">
      <w:rPr>
        <w:rFonts w:ascii="Times New Roman" w:hAnsi="Times New Roman" w:cs="Times New Roman"/>
        <w:sz w:val="20"/>
        <w:szCs w:val="20"/>
      </w:rPr>
      <w:fldChar w:fldCharType="begin"/>
    </w:r>
    <w:r w:rsidRPr="00B747FD">
      <w:rPr>
        <w:rFonts w:ascii="Times New Roman" w:hAnsi="Times New Roman" w:cs="Times New Roman"/>
        <w:sz w:val="20"/>
        <w:szCs w:val="20"/>
      </w:rPr>
      <w:instrText>PAGE   \* MERGEFORMAT</w:instrText>
    </w:r>
    <w:r w:rsidRPr="00B747FD">
      <w:rPr>
        <w:rFonts w:ascii="Times New Roman" w:hAnsi="Times New Roman" w:cs="Times New Roman"/>
        <w:sz w:val="20"/>
        <w:szCs w:val="20"/>
      </w:rPr>
      <w:fldChar w:fldCharType="separate"/>
    </w:r>
    <w:r w:rsidR="000356B1">
      <w:rPr>
        <w:rFonts w:ascii="Times New Roman" w:hAnsi="Times New Roman" w:cs="Times New Roman"/>
        <w:noProof/>
        <w:sz w:val="20"/>
        <w:szCs w:val="20"/>
      </w:rPr>
      <w:t>73</w:t>
    </w:r>
    <w:r w:rsidRPr="00B747FD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87D" w:rsidRDefault="00DE287D" w:rsidP="007F1664">
      <w:r>
        <w:separator/>
      </w:r>
    </w:p>
  </w:footnote>
  <w:footnote w:type="continuationSeparator" w:id="0">
    <w:p w:rsidR="00DE287D" w:rsidRDefault="00DE287D" w:rsidP="007F1664">
      <w:r>
        <w:continuationSeparator/>
      </w:r>
    </w:p>
  </w:footnote>
  <w:footnote w:id="1">
    <w:p w:rsidR="00B71BFA" w:rsidRDefault="00B71BFA" w:rsidP="007F1664">
      <w:pPr>
        <w:pStyle w:val="a5"/>
      </w:pPr>
      <w:r w:rsidRPr="0086458C">
        <w:rPr>
          <w:rStyle w:val="a7"/>
          <w:rFonts w:ascii="Albertus Medium" w:hAnsi="Albertus Medium" w:cs="Albertus Medium"/>
          <w:sz w:val="18"/>
          <w:szCs w:val="18"/>
        </w:rPr>
        <w:footnoteRef/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sz w:val="18"/>
          <w:szCs w:val="18"/>
        </w:rPr>
        <w:t>Значения</w:t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sz w:val="18"/>
          <w:szCs w:val="18"/>
        </w:rPr>
        <w:t>установлены</w:t>
      </w:r>
      <w:r w:rsidRPr="0086458C">
        <w:rPr>
          <w:rFonts w:ascii="Albertus Medium" w:hAnsi="Albertus Medium" w:cs="Albertus Medium"/>
          <w:sz w:val="18"/>
          <w:szCs w:val="18"/>
        </w:rPr>
        <w:t xml:space="preserve">, </w:t>
      </w:r>
      <w:r w:rsidRPr="0086458C">
        <w:rPr>
          <w:sz w:val="18"/>
          <w:szCs w:val="18"/>
        </w:rPr>
        <w:t>исходя</w:t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sz w:val="18"/>
          <w:szCs w:val="18"/>
        </w:rPr>
        <w:t>из</w:t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sz w:val="18"/>
          <w:szCs w:val="18"/>
        </w:rPr>
        <w:t>целевых</w:t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sz w:val="18"/>
          <w:szCs w:val="18"/>
        </w:rPr>
        <w:t>ориентиров</w:t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rFonts w:ascii="Candara" w:hAnsi="Candara" w:cs="Candara"/>
          <w:sz w:val="18"/>
          <w:szCs w:val="18"/>
        </w:rPr>
        <w:t>Концепции</w:t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rFonts w:ascii="Candara" w:hAnsi="Candara" w:cs="Candara"/>
          <w:sz w:val="18"/>
          <w:szCs w:val="18"/>
        </w:rPr>
        <w:t>долгосрочного</w:t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rFonts w:ascii="Candara" w:hAnsi="Candara" w:cs="Candara"/>
          <w:sz w:val="18"/>
          <w:szCs w:val="18"/>
        </w:rPr>
        <w:t>социально</w:t>
      </w:r>
      <w:r w:rsidRPr="0086458C">
        <w:rPr>
          <w:rFonts w:ascii="Albertus Medium" w:hAnsi="Albertus Medium" w:cs="Albertus Medium"/>
          <w:sz w:val="18"/>
          <w:szCs w:val="18"/>
        </w:rPr>
        <w:t>-</w:t>
      </w:r>
      <w:r w:rsidRPr="0086458C">
        <w:rPr>
          <w:rFonts w:ascii="Candara" w:hAnsi="Candara" w:cs="Candara"/>
          <w:sz w:val="18"/>
          <w:szCs w:val="18"/>
        </w:rPr>
        <w:t>экономического</w:t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rFonts w:ascii="Candara" w:hAnsi="Candara" w:cs="Candara"/>
          <w:sz w:val="18"/>
          <w:szCs w:val="18"/>
        </w:rPr>
        <w:t>развития</w:t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rFonts w:ascii="Candara" w:hAnsi="Candara" w:cs="Candara"/>
          <w:sz w:val="18"/>
          <w:szCs w:val="18"/>
        </w:rPr>
        <w:t>Российской</w:t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rFonts w:ascii="Candara" w:hAnsi="Candara" w:cs="Candara"/>
          <w:sz w:val="18"/>
          <w:szCs w:val="18"/>
        </w:rPr>
        <w:t>Федерации</w:t>
      </w:r>
      <w:r w:rsidRPr="0086458C">
        <w:rPr>
          <w:rFonts w:ascii="Albertus Medium" w:hAnsi="Albertus Medium" w:cs="Albertus Medium"/>
          <w:sz w:val="18"/>
          <w:szCs w:val="18"/>
        </w:rPr>
        <w:t xml:space="preserve"> </w:t>
      </w:r>
      <w:r w:rsidRPr="0086458C">
        <w:rPr>
          <w:rFonts w:ascii="Candara" w:hAnsi="Candara" w:cs="Candara"/>
          <w:sz w:val="18"/>
          <w:szCs w:val="18"/>
        </w:rPr>
        <w:t>до</w:t>
      </w:r>
      <w:r w:rsidRPr="0086458C">
        <w:rPr>
          <w:rFonts w:ascii="Albertus Medium" w:hAnsi="Albertus Medium" w:cs="Albertus Medium"/>
          <w:sz w:val="18"/>
          <w:szCs w:val="18"/>
        </w:rPr>
        <w:t xml:space="preserve"> 2020 </w:t>
      </w:r>
      <w:r w:rsidRPr="0086458C">
        <w:rPr>
          <w:rFonts w:ascii="Candara" w:hAnsi="Candara" w:cs="Candara"/>
          <w:sz w:val="18"/>
          <w:szCs w:val="18"/>
        </w:rPr>
        <w:t>года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F2"/>
    <w:rsid w:val="00032C88"/>
    <w:rsid w:val="000356B1"/>
    <w:rsid w:val="000C6B75"/>
    <w:rsid w:val="001103CF"/>
    <w:rsid w:val="0012792E"/>
    <w:rsid w:val="00141A19"/>
    <w:rsid w:val="001B278F"/>
    <w:rsid w:val="00257694"/>
    <w:rsid w:val="00294C65"/>
    <w:rsid w:val="002A5CEE"/>
    <w:rsid w:val="002B287B"/>
    <w:rsid w:val="002E7F70"/>
    <w:rsid w:val="002F5C14"/>
    <w:rsid w:val="0032788D"/>
    <w:rsid w:val="003A71BC"/>
    <w:rsid w:val="003F0EA2"/>
    <w:rsid w:val="00400429"/>
    <w:rsid w:val="00473246"/>
    <w:rsid w:val="004732CD"/>
    <w:rsid w:val="004B528C"/>
    <w:rsid w:val="004B72AC"/>
    <w:rsid w:val="004D3F28"/>
    <w:rsid w:val="004F7A19"/>
    <w:rsid w:val="00502446"/>
    <w:rsid w:val="00506D6C"/>
    <w:rsid w:val="00520044"/>
    <w:rsid w:val="00563669"/>
    <w:rsid w:val="0057123C"/>
    <w:rsid w:val="00604E0F"/>
    <w:rsid w:val="00662D46"/>
    <w:rsid w:val="00712247"/>
    <w:rsid w:val="00717013"/>
    <w:rsid w:val="007263D5"/>
    <w:rsid w:val="00756364"/>
    <w:rsid w:val="007A134C"/>
    <w:rsid w:val="007A739C"/>
    <w:rsid w:val="007E6523"/>
    <w:rsid w:val="007F1664"/>
    <w:rsid w:val="008251F2"/>
    <w:rsid w:val="00863CB9"/>
    <w:rsid w:val="0086458C"/>
    <w:rsid w:val="00884B31"/>
    <w:rsid w:val="008B565D"/>
    <w:rsid w:val="008B6349"/>
    <w:rsid w:val="008E7CF2"/>
    <w:rsid w:val="008F10A7"/>
    <w:rsid w:val="008F65E4"/>
    <w:rsid w:val="008F7556"/>
    <w:rsid w:val="00924E98"/>
    <w:rsid w:val="00994FBE"/>
    <w:rsid w:val="009E0333"/>
    <w:rsid w:val="00A70074"/>
    <w:rsid w:val="00A75CD8"/>
    <w:rsid w:val="00A76D31"/>
    <w:rsid w:val="00B51A9C"/>
    <w:rsid w:val="00B71BFA"/>
    <w:rsid w:val="00B747FD"/>
    <w:rsid w:val="00B867F8"/>
    <w:rsid w:val="00B90C28"/>
    <w:rsid w:val="00BA605B"/>
    <w:rsid w:val="00BB3DA4"/>
    <w:rsid w:val="00BC3AB9"/>
    <w:rsid w:val="00BE33E3"/>
    <w:rsid w:val="00BF38C6"/>
    <w:rsid w:val="00C93CC8"/>
    <w:rsid w:val="00D0261A"/>
    <w:rsid w:val="00D12115"/>
    <w:rsid w:val="00D13B54"/>
    <w:rsid w:val="00DA6FBA"/>
    <w:rsid w:val="00DC24F7"/>
    <w:rsid w:val="00DD7FB2"/>
    <w:rsid w:val="00DE287D"/>
    <w:rsid w:val="00DE3ADD"/>
    <w:rsid w:val="00E31672"/>
    <w:rsid w:val="00E5217F"/>
    <w:rsid w:val="00E84AAD"/>
    <w:rsid w:val="00F06C2D"/>
    <w:rsid w:val="00F73092"/>
    <w:rsid w:val="00F921EB"/>
    <w:rsid w:val="00FD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21DEA0-0AD2-4B09-AFB9-B0A5A4B2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247"/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12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12247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rsid w:val="007F166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F1664"/>
    <w:rPr>
      <w:rFonts w:ascii="Calibri" w:hAnsi="Calibri" w:cs="Calibri"/>
      <w:sz w:val="20"/>
      <w:szCs w:val="20"/>
    </w:rPr>
  </w:style>
  <w:style w:type="character" w:styleId="a7">
    <w:name w:val="footnote reference"/>
    <w:basedOn w:val="a0"/>
    <w:uiPriority w:val="99"/>
    <w:semiHidden/>
    <w:rsid w:val="007F1664"/>
    <w:rPr>
      <w:vertAlign w:val="superscript"/>
    </w:rPr>
  </w:style>
  <w:style w:type="paragraph" w:styleId="a8">
    <w:name w:val="header"/>
    <w:basedOn w:val="a"/>
    <w:link w:val="a9"/>
    <w:uiPriority w:val="99"/>
    <w:rsid w:val="00F06C2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06C2D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rsid w:val="00F06C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06C2D"/>
    <w:rPr>
      <w:rFonts w:ascii="Calibri" w:hAnsi="Calibri" w:cs="Calibri"/>
      <w:sz w:val="22"/>
      <w:szCs w:val="22"/>
    </w:rPr>
  </w:style>
  <w:style w:type="table" w:styleId="ac">
    <w:name w:val="Table Grid"/>
    <w:basedOn w:val="a1"/>
    <w:uiPriority w:val="99"/>
    <w:locked/>
    <w:rsid w:val="00E5217F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uiPriority w:val="99"/>
    <w:rsid w:val="00E5217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3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2697</Words>
  <Characters>15377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5И</Company>
  <LinksUpToDate>false</LinksUpToDate>
  <CharactersWithSpaces>18038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Galina Plotnikova</dc:creator>
  <cp:keywords/>
  <dc:description/>
  <cp:lastModifiedBy>Татьяна В. Проскурнина</cp:lastModifiedBy>
  <cp:revision>2</cp:revision>
  <cp:lastPrinted>2014-12-25T12:08:00Z</cp:lastPrinted>
  <dcterms:created xsi:type="dcterms:W3CDTF">2016-05-16T09:15:00Z</dcterms:created>
  <dcterms:modified xsi:type="dcterms:W3CDTF">2016-05-16T09:15:00Z</dcterms:modified>
</cp:coreProperties>
</file>